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0924" w14:textId="77777777" w:rsidR="00966469" w:rsidRPr="00344932" w:rsidRDefault="00081027" w:rsidP="00081027">
      <w:pPr>
        <w:pStyle w:val="Nagwek1"/>
        <w:tabs>
          <w:tab w:val="right" w:leader="dot" w:pos="2268"/>
        </w:tabs>
        <w:spacing w:before="0"/>
        <w:rPr>
          <w:sz w:val="24"/>
          <w:szCs w:val="24"/>
        </w:rPr>
      </w:pPr>
      <w:r w:rsidRPr="00344932">
        <w:rPr>
          <w:color w:val="auto"/>
          <w:sz w:val="24"/>
          <w:szCs w:val="24"/>
        </w:rPr>
        <w:tab/>
      </w:r>
      <w:r w:rsidR="00966469" w:rsidRPr="00344932">
        <w:rPr>
          <w:sz w:val="24"/>
          <w:szCs w:val="24"/>
        </w:rPr>
        <w:tab/>
      </w:r>
    </w:p>
    <w:p w14:paraId="2F0571A3" w14:textId="77777777" w:rsidR="000A6F53" w:rsidRPr="00344932" w:rsidRDefault="000A6F53" w:rsidP="00081027">
      <w:pPr>
        <w:pStyle w:val="Nagwek1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>(miejscowość i data)</w:t>
      </w:r>
    </w:p>
    <w:p w14:paraId="7EE53F98" w14:textId="77777777" w:rsidR="00D76EEC" w:rsidRPr="00344932" w:rsidRDefault="00D76EEC" w:rsidP="00D76EEC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ab/>
      </w:r>
    </w:p>
    <w:p w14:paraId="3BC5B210" w14:textId="77777777" w:rsidR="00D76EEC" w:rsidRPr="00344932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 xml:space="preserve">(imię i nazwisko/nazwa </w:t>
      </w:r>
      <w:r w:rsidR="00603F31" w:rsidRPr="00344932">
        <w:rPr>
          <w:rFonts w:ascii="Open Sans" w:hAnsi="Open Sans" w:cs="Open Sans"/>
          <w:color w:val="auto"/>
          <w:sz w:val="24"/>
          <w:szCs w:val="24"/>
        </w:rPr>
        <w:t>W</w:t>
      </w:r>
      <w:r w:rsidRPr="00344932">
        <w:rPr>
          <w:rFonts w:ascii="Open Sans" w:hAnsi="Open Sans" w:cs="Open Sans"/>
          <w:color w:val="auto"/>
          <w:sz w:val="24"/>
          <w:szCs w:val="24"/>
        </w:rPr>
        <w:t>nioskodawcy)</w:t>
      </w:r>
    </w:p>
    <w:p w14:paraId="2A4CF5CB" w14:textId="77777777" w:rsidR="00D76EEC" w:rsidRPr="00344932" w:rsidRDefault="00D76EEC" w:rsidP="00603F31">
      <w:pPr>
        <w:pStyle w:val="Nagwek2"/>
        <w:tabs>
          <w:tab w:val="left" w:leader="dot" w:pos="3402"/>
        </w:tabs>
        <w:spacing w:before="120"/>
        <w:jc w:val="left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ab/>
      </w:r>
    </w:p>
    <w:p w14:paraId="657E2863" w14:textId="77777777" w:rsidR="00D76EEC" w:rsidRPr="00344932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>(adres)</w:t>
      </w:r>
    </w:p>
    <w:p w14:paraId="33E04E49" w14:textId="77777777" w:rsidR="00D76EEC" w:rsidRPr="00344932" w:rsidRDefault="00D76EEC" w:rsidP="00495839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ab/>
      </w:r>
    </w:p>
    <w:p w14:paraId="3F2804B6" w14:textId="77777777" w:rsidR="00D76EEC" w:rsidRPr="00344932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>(numer telefonu)</w:t>
      </w:r>
    </w:p>
    <w:p w14:paraId="7D498AD0" w14:textId="77777777" w:rsidR="000A6F53" w:rsidRPr="00344932" w:rsidRDefault="000A6F53" w:rsidP="00495839">
      <w:pPr>
        <w:pStyle w:val="Nagwek2"/>
        <w:spacing w:before="120"/>
        <w:rPr>
          <w:rFonts w:ascii="Open Sans SemiBold" w:hAnsi="Open Sans SemiBold" w:cs="Open Sans SemiBold"/>
          <w:color w:val="auto"/>
          <w:sz w:val="24"/>
          <w:szCs w:val="24"/>
        </w:rPr>
      </w:pPr>
      <w:r w:rsidRPr="00344932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14:paraId="095F3F75" w14:textId="77777777" w:rsidR="000A6F53" w:rsidRPr="00344932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>plac Wolności 1</w:t>
      </w:r>
    </w:p>
    <w:p w14:paraId="26122294" w14:textId="77777777" w:rsidR="000A6F53" w:rsidRPr="00344932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344932">
        <w:rPr>
          <w:rFonts w:ascii="Open Sans" w:hAnsi="Open Sans" w:cs="Open Sans"/>
          <w:color w:val="auto"/>
          <w:sz w:val="24"/>
          <w:szCs w:val="24"/>
        </w:rPr>
        <w:t xml:space="preserve">62-500 Konin </w:t>
      </w:r>
    </w:p>
    <w:p w14:paraId="20C54EA6" w14:textId="77777777" w:rsidR="00966469" w:rsidRPr="00344932" w:rsidRDefault="0050209B" w:rsidP="005B3B2D">
      <w:pPr>
        <w:pStyle w:val="Nagwek3"/>
        <w:spacing w:before="240"/>
        <w:jc w:val="center"/>
        <w:rPr>
          <w:rFonts w:ascii="Open Sans SemiBold" w:hAnsi="Open Sans SemiBold" w:cs="Open Sans SemiBold"/>
          <w:color w:val="auto"/>
        </w:rPr>
      </w:pPr>
      <w:r w:rsidRPr="00344932">
        <w:rPr>
          <w:rFonts w:ascii="Open Sans SemiBold" w:hAnsi="Open Sans SemiBold" w:cs="Open Sans SemiBold"/>
          <w:color w:val="auto"/>
        </w:rPr>
        <w:t>Wniosek o podział</w:t>
      </w:r>
      <w:r w:rsidR="00603F31" w:rsidRPr="00344932">
        <w:rPr>
          <w:rFonts w:ascii="Open Sans SemiBold" w:hAnsi="Open Sans SemiBold" w:cs="Open Sans SemiBold"/>
          <w:color w:val="auto"/>
        </w:rPr>
        <w:t xml:space="preserve"> nieruchomości</w:t>
      </w:r>
    </w:p>
    <w:p w14:paraId="4C6709B3" w14:textId="5F32EDC6" w:rsidR="0050209B" w:rsidRPr="00344932" w:rsidRDefault="0050209B" w:rsidP="008302ED">
      <w:pPr>
        <w:pStyle w:val="Nagwek4"/>
        <w:tabs>
          <w:tab w:val="right" w:leader="dot" w:pos="5670"/>
        </w:tabs>
        <w:spacing w:before="240"/>
        <w:jc w:val="both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Proszę o wydanie decyzji zatwierdzającej podział nieruchomości położonej </w:t>
      </w:r>
      <w:r w:rsidR="008302ED">
        <w:rPr>
          <w:rFonts w:ascii="Open Sans" w:hAnsi="Open Sans" w:cs="Open Sans"/>
          <w:i w:val="0"/>
          <w:iCs w:val="0"/>
          <w:color w:val="auto"/>
          <w:sz w:val="24"/>
          <w:szCs w:val="24"/>
        </w:rPr>
        <w:br/>
      </w: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>w Koninie, obręb</w:t>
      </w:r>
      <w:r w:rsidR="005B3B2D"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>………………….</w:t>
      </w: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, oznaczonej w ewidencji gruntów i budynków numerem/numerami działek: </w:t>
      </w: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  <w:r w:rsid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>………………………………</w:t>
      </w: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o powierzchni </w:t>
      </w:r>
      <w:r w:rsid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>………………………</w:t>
      </w: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, dla której w Sądzie Rejonowym w Koninie Wydziale Ksiąg Wieczystych urządzona jest księga wieczysta o numerze KW </w:t>
      </w:r>
      <w:r w:rsidRP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  <w:r w:rsidR="00344932">
        <w:rPr>
          <w:rFonts w:ascii="Open Sans" w:hAnsi="Open Sans" w:cs="Open Sans"/>
          <w:i w:val="0"/>
          <w:iCs w:val="0"/>
          <w:color w:val="auto"/>
          <w:sz w:val="24"/>
          <w:szCs w:val="24"/>
        </w:rPr>
        <w:t>…………………………………………..</w:t>
      </w:r>
    </w:p>
    <w:p w14:paraId="27EBF83D" w14:textId="77777777" w:rsidR="00966469" w:rsidRPr="00344932" w:rsidRDefault="0050209B" w:rsidP="0050209B">
      <w:pPr>
        <w:pStyle w:val="Nagwek5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344932">
        <w:rPr>
          <w:rFonts w:ascii="Open Sans SemiBold" w:hAnsi="Open Sans SemiBold" w:cs="Open Sans SemiBold"/>
          <w:color w:val="auto"/>
          <w:sz w:val="24"/>
          <w:szCs w:val="24"/>
        </w:rPr>
        <w:t>Uzasadnienie</w:t>
      </w:r>
    </w:p>
    <w:p w14:paraId="1BC840F1" w14:textId="257D3297" w:rsidR="005B3B2D" w:rsidRDefault="0050209B" w:rsidP="00344932">
      <w:pPr>
        <w:tabs>
          <w:tab w:val="right" w:leader="dot" w:pos="9072"/>
        </w:tabs>
        <w:jc w:val="both"/>
        <w:rPr>
          <w:rFonts w:ascii="Open Sans" w:hAnsi="Open Sans" w:cs="Open Sans"/>
          <w:i/>
          <w:iCs/>
          <w:sz w:val="20"/>
          <w:szCs w:val="20"/>
        </w:rPr>
      </w:pPr>
      <w:r w:rsidRPr="00344932">
        <w:rPr>
          <w:sz w:val="24"/>
          <w:szCs w:val="24"/>
        </w:rPr>
        <w:tab/>
      </w:r>
      <w:r w:rsidRPr="00344932">
        <w:rPr>
          <w:sz w:val="24"/>
          <w:szCs w:val="24"/>
        </w:rPr>
        <w:tab/>
      </w:r>
      <w:r w:rsidRPr="00344932">
        <w:rPr>
          <w:sz w:val="24"/>
          <w:szCs w:val="24"/>
        </w:rPr>
        <w:tab/>
      </w:r>
      <w:r w:rsidRPr="00344932">
        <w:rPr>
          <w:sz w:val="24"/>
          <w:szCs w:val="24"/>
        </w:rPr>
        <w:tab/>
      </w:r>
      <w:r w:rsidRPr="00344932">
        <w:rPr>
          <w:sz w:val="24"/>
          <w:szCs w:val="24"/>
        </w:rPr>
        <w:tab/>
      </w:r>
      <w:r w:rsidR="005B3B2D" w:rsidRPr="00344932">
        <w:rPr>
          <w:rFonts w:ascii="Open Sans" w:hAnsi="Open Sans" w:cs="Open Sans"/>
          <w:i/>
          <w:iCs/>
          <w:sz w:val="20"/>
          <w:szCs w:val="20"/>
        </w:rPr>
        <w:t xml:space="preserve">Uwaga  – jeżeli w wyniku podziału nieruchomości, przeprowadzonego na wniosek właściciela, wydzielone zostaną działki gruntu pod drogi publiczne, które zgodnie z art. 98 ust. 1 ustawy z dnia 21 sierpnia </w:t>
      </w:r>
      <w:r w:rsidR="008302ED">
        <w:rPr>
          <w:rFonts w:ascii="Open Sans" w:hAnsi="Open Sans" w:cs="Open Sans"/>
          <w:i/>
          <w:iCs/>
          <w:sz w:val="20"/>
          <w:szCs w:val="20"/>
        </w:rPr>
        <w:br/>
      </w:r>
      <w:r w:rsidR="005B3B2D" w:rsidRPr="00344932">
        <w:rPr>
          <w:rFonts w:ascii="Open Sans" w:hAnsi="Open Sans" w:cs="Open Sans"/>
          <w:i/>
          <w:iCs/>
          <w:sz w:val="20"/>
          <w:szCs w:val="20"/>
        </w:rPr>
        <w:t xml:space="preserve">1997 r. o gospodarce nieruchomościami (Dz. U. z 2023 r., poz. 344 ze zm.), w dniu kiedy decyzja zatwierdzająca  podział stanie się ostateczna, przejdą na własność  gminy / powiatu / województwa / Skarbu Państwa, w celu przyśpieszenia postepowania do wniosku oprócz wymaganych obligatoryjnie załączników 1-9, po uzyskaniu pozytywnej opinii o zgodności proponowanego podziału nieruchomości </w:t>
      </w:r>
      <w:r w:rsidR="008302ED">
        <w:rPr>
          <w:rFonts w:ascii="Open Sans" w:hAnsi="Open Sans" w:cs="Open Sans"/>
          <w:i/>
          <w:iCs/>
          <w:sz w:val="20"/>
          <w:szCs w:val="20"/>
        </w:rPr>
        <w:br/>
      </w:r>
      <w:r w:rsidR="005B3B2D" w:rsidRPr="00344932">
        <w:rPr>
          <w:rFonts w:ascii="Open Sans" w:hAnsi="Open Sans" w:cs="Open Sans"/>
          <w:i/>
          <w:iCs/>
          <w:sz w:val="20"/>
          <w:szCs w:val="20"/>
        </w:rPr>
        <w:t xml:space="preserve">z ustaleniami planu miejscowego, dołączyć należy: oświadczenie, że wydzielane pod drogi publiczne działki są niezagospodarowane lub wykaz trwałych obiektów zagospodarowania terenu (nierozerwalnie związanych z gruntem) wzniesionych przez właściciela nieruchomości wraz z ich opisem, obmiarem </w:t>
      </w:r>
      <w:r w:rsidR="008302ED">
        <w:rPr>
          <w:rFonts w:ascii="Open Sans" w:hAnsi="Open Sans" w:cs="Open Sans"/>
          <w:i/>
          <w:iCs/>
          <w:sz w:val="20"/>
          <w:szCs w:val="20"/>
        </w:rPr>
        <w:br/>
      </w:r>
      <w:r w:rsidR="005B3B2D" w:rsidRPr="00344932">
        <w:rPr>
          <w:rFonts w:ascii="Open Sans" w:hAnsi="Open Sans" w:cs="Open Sans"/>
          <w:i/>
          <w:iCs/>
          <w:sz w:val="20"/>
          <w:szCs w:val="20"/>
        </w:rPr>
        <w:t xml:space="preserve">i dokumentacją fotograficzną. Wykaz, o którym mowa powyżej, podlegać będzie weryfikacji przez organ prowadzący postępowanie w sprawie podziału nieruchomości. </w:t>
      </w:r>
    </w:p>
    <w:p w14:paraId="410CB2FD" w14:textId="77777777" w:rsidR="00365CC9" w:rsidRDefault="00365CC9" w:rsidP="00365CC9">
      <w:pPr>
        <w:pStyle w:val="Nagwek5"/>
        <w:tabs>
          <w:tab w:val="right" w:leader="dot" w:pos="2835"/>
        </w:tabs>
        <w:spacing w:before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ab/>
      </w:r>
      <w:r>
        <w:rPr>
          <w:rFonts w:ascii="Open Sans" w:hAnsi="Open Sans" w:cs="Open Sans"/>
          <w:color w:val="auto"/>
        </w:rPr>
        <w:tab/>
      </w:r>
    </w:p>
    <w:p w14:paraId="1F3B619D" w14:textId="77777777" w:rsidR="00365CC9" w:rsidRDefault="00365CC9" w:rsidP="00365CC9">
      <w:pPr>
        <w:pStyle w:val="Nagwek5"/>
        <w:spacing w:before="0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(podpis/pieczątka Wnioskodawcy)</w:t>
      </w:r>
    </w:p>
    <w:p w14:paraId="2107BDE5" w14:textId="77777777" w:rsidR="00365CC9" w:rsidRPr="00344932" w:rsidRDefault="00365CC9" w:rsidP="00344932">
      <w:pPr>
        <w:tabs>
          <w:tab w:val="right" w:leader="dot" w:pos="9072"/>
        </w:tabs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546C994E" w14:textId="77777777" w:rsidR="00FC5A0D" w:rsidRPr="00FE4D36" w:rsidRDefault="00FC5A0D" w:rsidP="00FC5A0D">
      <w:pPr>
        <w:pStyle w:val="Nagwek5"/>
        <w:spacing w:before="0"/>
        <w:jc w:val="left"/>
        <w:rPr>
          <w:rFonts w:ascii="Open Sans SemiBold" w:hAnsi="Open Sans SemiBold" w:cs="Open Sans SemiBold"/>
          <w:color w:val="auto"/>
        </w:rPr>
      </w:pPr>
      <w:r w:rsidRPr="00FE4D36">
        <w:rPr>
          <w:rFonts w:ascii="Open Sans SemiBold" w:hAnsi="Open Sans SemiBold" w:cs="Open Sans SemiBold"/>
          <w:color w:val="auto"/>
        </w:rPr>
        <w:lastRenderedPageBreak/>
        <w:t>Z</w:t>
      </w:r>
      <w:r w:rsidR="00FE4D36" w:rsidRPr="00FE4D36">
        <w:rPr>
          <w:rFonts w:ascii="Open Sans SemiBold" w:hAnsi="Open Sans SemiBold" w:cs="Open Sans SemiBold"/>
          <w:color w:val="auto"/>
        </w:rPr>
        <w:t>ałączniki:</w:t>
      </w:r>
    </w:p>
    <w:p w14:paraId="65421E93" w14:textId="77777777" w:rsidR="00FC5A0D" w:rsidRPr="00FC5A0D" w:rsidRDefault="00FC5A0D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tytuł prawny do nieruchomości w szczególności oświadczenie, o którym mowa w art. 116 ust. 2, pkt. 4 ustawy o gospodarce nieruchomościami *</w:t>
      </w:r>
    </w:p>
    <w:p w14:paraId="5922F114" w14:textId="3BBBF04D" w:rsidR="00FC5A0D" w:rsidRPr="00FC5A0D" w:rsidRDefault="00FC5A0D" w:rsidP="00FC5A0D">
      <w:pPr>
        <w:pStyle w:val="Nagwek5"/>
        <w:numPr>
          <w:ilvl w:val="0"/>
          <w:numId w:val="40"/>
        </w:numPr>
        <w:spacing w:before="0"/>
        <w:jc w:val="left"/>
      </w:pPr>
      <w:r w:rsidRPr="00365CC9">
        <w:rPr>
          <w:rFonts w:ascii="Open Sans" w:hAnsi="Open Sans" w:cs="Open Sans"/>
          <w:color w:val="auto"/>
        </w:rPr>
        <w:t>wypis z katastru nieruchomości i kopię mapy katastralnej obejmującej nieruchomość podlegającą podziałowi,</w:t>
      </w:r>
    </w:p>
    <w:p w14:paraId="64F4227B" w14:textId="77777777" w:rsidR="00603F31" w:rsidRPr="00FC5A0D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decyzj</w:t>
      </w:r>
      <w:r w:rsidR="00B6588F">
        <w:rPr>
          <w:rFonts w:ascii="Open Sans" w:hAnsi="Open Sans" w:cs="Open Sans"/>
          <w:color w:val="auto"/>
        </w:rPr>
        <w:t>a o</w:t>
      </w:r>
      <w:r w:rsidRPr="00FC5A0D">
        <w:rPr>
          <w:rFonts w:ascii="Open Sans" w:hAnsi="Open Sans" w:cs="Open Sans"/>
          <w:color w:val="auto"/>
        </w:rPr>
        <w:t xml:space="preserve"> warunkach zabudowy i zagospodarowania terenu w przypadku, o którym mowa w art. 94 ust. 1, pkt. 2 ustawy o gospodarce nieruchomościami **</w:t>
      </w:r>
    </w:p>
    <w:p w14:paraId="04DBC66B" w14:textId="77777777" w:rsidR="00603F31" w:rsidRPr="00FC5A0D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pozwolenie, o którym mowa w art. 96 ust. 1a ustawy o gospodarce nieruchomościami, w przypadku nieruchomości wpisanej do rejestru zabytków ***</w:t>
      </w:r>
    </w:p>
    <w:p w14:paraId="7E57A267" w14:textId="77777777" w:rsidR="00603F31" w:rsidRPr="00FC5A0D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wstępny projekt podziału nieruchomości</w:t>
      </w:r>
    </w:p>
    <w:p w14:paraId="02FE37B7" w14:textId="77777777" w:rsidR="00603F31" w:rsidRPr="00FC5A0D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protokół z przyjęcia granic nieruchomości ****</w:t>
      </w:r>
    </w:p>
    <w:p w14:paraId="6DAC2957" w14:textId="77777777" w:rsidR="00603F31" w:rsidRPr="00FC5A0D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wykaz zmian gruntowych ****</w:t>
      </w:r>
    </w:p>
    <w:p w14:paraId="00BAE1DA" w14:textId="77777777" w:rsidR="00603F31" w:rsidRPr="00FC5A0D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wykaz synchronizacyjny, jeżeli oznaczenie działek gruntu w katastrze nieruchomości jest inne niż w księdze wieczystej ****</w:t>
      </w:r>
    </w:p>
    <w:p w14:paraId="1C771A53" w14:textId="77777777" w:rsidR="00603F31" w:rsidRPr="004466E5" w:rsidRDefault="00603F31" w:rsidP="00FC5A0D">
      <w:pPr>
        <w:pStyle w:val="Nagwek5"/>
        <w:numPr>
          <w:ilvl w:val="0"/>
          <w:numId w:val="40"/>
        </w:numPr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mapa z projektem podziału ****</w:t>
      </w:r>
    </w:p>
    <w:p w14:paraId="2039A97D" w14:textId="77777777" w:rsidR="00603F31" w:rsidRPr="00FE4D36" w:rsidRDefault="00FE4D36" w:rsidP="00A9407E">
      <w:pPr>
        <w:pStyle w:val="Nagwek5"/>
        <w:spacing w:before="240"/>
        <w:jc w:val="left"/>
        <w:rPr>
          <w:rFonts w:ascii="Open Sans SemiBold" w:hAnsi="Open Sans SemiBold" w:cs="Open Sans SemiBold"/>
          <w:bCs/>
          <w:color w:val="auto"/>
        </w:rPr>
      </w:pPr>
      <w:r w:rsidRPr="00FE4D36">
        <w:rPr>
          <w:rFonts w:ascii="Open Sans SemiBold" w:hAnsi="Open Sans SemiBold" w:cs="Open Sans SemiBold"/>
          <w:bCs/>
          <w:color w:val="auto"/>
        </w:rPr>
        <w:t>Komentarz:</w:t>
      </w:r>
    </w:p>
    <w:p w14:paraId="5F27DC64" w14:textId="77777777" w:rsidR="00603F31" w:rsidRPr="00FC5A0D" w:rsidRDefault="00603F31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b/>
          <w:color w:val="auto"/>
        </w:rPr>
        <w:t>*</w:t>
      </w:r>
      <w:r w:rsidRPr="00FC5A0D">
        <w:rPr>
          <w:rFonts w:ascii="Open Sans" w:hAnsi="Open Sans" w:cs="Open Sans"/>
          <w:b/>
          <w:color w:val="auto"/>
          <w:vertAlign w:val="superscript"/>
        </w:rPr>
        <w:t xml:space="preserve"> </w:t>
      </w:r>
      <w:r w:rsidRPr="00FC5A0D">
        <w:rPr>
          <w:rFonts w:ascii="Open Sans" w:hAnsi="Open Sans" w:cs="Open Sans"/>
          <w:color w:val="auto"/>
        </w:rPr>
        <w:t>odpis księgi wieczystej albo oświadczenie przedstawiające aktualny stan wpisów w księdze wieczystej założonej dla nieruchomości objętej podziałem, ze wskazaniem numeru księgi wieczystej, albo zaświadczenie o stanie prawnym, jaki wynika ze zbioru dokumentów. Oświadczenie składa się pod rygorem odpowiedzialności karnej za składanie fałszywych zeznań. Składający oświadczenie jest obowiązany do zawarcia w nim klauzuli następującej treści: „Jestem świadomy odpowiedzialności karnej za złożenie fałszywego oświadczenia”. Klauzula ta zastępuje pouczenie organu o odpowiedzialności karnej za składanie fałszywych zeznań</w:t>
      </w:r>
    </w:p>
    <w:p w14:paraId="173EBE76" w14:textId="77777777" w:rsidR="00603F31" w:rsidRPr="00FC5A0D" w:rsidRDefault="00603F31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b/>
          <w:color w:val="auto"/>
        </w:rPr>
        <w:t>**</w:t>
      </w:r>
      <w:r w:rsidRPr="00FC5A0D">
        <w:rPr>
          <w:rFonts w:ascii="Open Sans" w:hAnsi="Open Sans" w:cs="Open Sans"/>
          <w:b/>
          <w:color w:val="auto"/>
          <w:vertAlign w:val="superscript"/>
        </w:rPr>
        <w:t xml:space="preserve"> </w:t>
      </w:r>
      <w:r w:rsidRPr="00FC5A0D">
        <w:rPr>
          <w:rFonts w:ascii="Open Sans" w:hAnsi="Open Sans" w:cs="Open Sans"/>
          <w:color w:val="auto"/>
        </w:rPr>
        <w:t>w przypadku braku planu miejscowego, jeżeli nieruchomość jest położona na obszarze nieobjętym obowiązkiem sporządzenia tego planu</w:t>
      </w:r>
    </w:p>
    <w:p w14:paraId="5D1D73A8" w14:textId="77777777" w:rsidR="00603F31" w:rsidRPr="00FC5A0D" w:rsidRDefault="00603F31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b/>
          <w:color w:val="auto"/>
        </w:rPr>
        <w:t>***</w:t>
      </w:r>
      <w:r w:rsidRPr="00FC5A0D">
        <w:rPr>
          <w:rFonts w:ascii="Open Sans" w:hAnsi="Open Sans" w:cs="Open Sans"/>
          <w:color w:val="auto"/>
          <w:vertAlign w:val="superscript"/>
        </w:rPr>
        <w:t xml:space="preserve"> </w:t>
      </w:r>
      <w:r w:rsidRPr="00FC5A0D">
        <w:rPr>
          <w:rFonts w:ascii="Open Sans" w:hAnsi="Open Sans" w:cs="Open Sans"/>
          <w:color w:val="auto"/>
        </w:rPr>
        <w:t>jeżeli nieruchomość jest wpisana do rejestru zabytków, decyzję zatwierdzającą podział nieruchomości wydaje się po uzyskaniu pozwolenia wojewódzkiego konserwatora zabytków na podział tej nieruchomości</w:t>
      </w:r>
    </w:p>
    <w:p w14:paraId="4DEAD61D" w14:textId="77777777" w:rsidR="00603F31" w:rsidRPr="00FC5A0D" w:rsidRDefault="00603F31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b/>
          <w:color w:val="auto"/>
        </w:rPr>
        <w:t>****</w:t>
      </w:r>
      <w:r w:rsidRPr="00FC5A0D">
        <w:rPr>
          <w:rFonts w:ascii="Open Sans" w:hAnsi="Open Sans" w:cs="Open Sans"/>
          <w:b/>
          <w:color w:val="auto"/>
          <w:vertAlign w:val="superscript"/>
        </w:rPr>
        <w:t xml:space="preserve"> </w:t>
      </w:r>
      <w:r w:rsidRPr="00FC5A0D">
        <w:rPr>
          <w:rFonts w:ascii="Open Sans" w:hAnsi="Open Sans" w:cs="Open Sans"/>
          <w:color w:val="auto"/>
          <w:vertAlign w:val="superscript"/>
        </w:rPr>
        <w:t xml:space="preserve"> </w:t>
      </w:r>
      <w:r w:rsidRPr="00FC5A0D">
        <w:rPr>
          <w:rFonts w:ascii="Open Sans" w:hAnsi="Open Sans" w:cs="Open Sans"/>
          <w:color w:val="auto"/>
        </w:rPr>
        <w:t>jeżeli jest wymagane wyrażenie opinii o zgodności proponowanego podziału nieruchomości z ustaleniami planu miejscowego lub uzyskanie pozwolenia wojewódzkiego konserwatora zabytków na podział nieruchomości wpisanej do rejestru zabytków, dokumenty wymienione w pkt.: 6 ÷ 9, dołącza się do wniosku o podział nieruchomości po uzyskaniu pozytywnej opinii lub pozwolenia. Dokumenty te podlegają przyjęciu do państwowego zasobu geodezyjnego i kartograficznego.</w:t>
      </w:r>
    </w:p>
    <w:p w14:paraId="4524E775" w14:textId="77777777" w:rsidR="00603F31" w:rsidRPr="00FE4D36" w:rsidRDefault="00603F31" w:rsidP="00A9407E">
      <w:pPr>
        <w:pStyle w:val="Nagwek5"/>
        <w:spacing w:before="240"/>
        <w:jc w:val="left"/>
        <w:rPr>
          <w:rFonts w:ascii="Open Sans SemiBold" w:hAnsi="Open Sans SemiBold" w:cs="Open Sans SemiBold"/>
          <w:color w:val="auto"/>
        </w:rPr>
      </w:pPr>
      <w:r w:rsidRPr="00FE4D36">
        <w:rPr>
          <w:rFonts w:ascii="Open Sans SemiBold" w:hAnsi="Open Sans SemiBold" w:cs="Open Sans SemiBold"/>
          <w:color w:val="auto"/>
        </w:rPr>
        <w:t>O</w:t>
      </w:r>
      <w:r w:rsidR="00FE4D36" w:rsidRPr="00FE4D36">
        <w:rPr>
          <w:rFonts w:ascii="Open Sans SemiBold" w:hAnsi="Open Sans SemiBold" w:cs="Open Sans SemiBold"/>
          <w:color w:val="auto"/>
        </w:rPr>
        <w:t>płaty:</w:t>
      </w:r>
    </w:p>
    <w:p w14:paraId="33D053F0" w14:textId="77777777" w:rsidR="00603F31" w:rsidRDefault="00603F31" w:rsidP="00FC5A0D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Nie podlega opłacie skarbowej na podstawie art. 2. ust. 1, pkt. 1, lit. h) ustawy z dnia 16 listopada 2006 r. o opłacie skarbowej (tekst jednolity: Dz. U. z 202</w:t>
      </w:r>
      <w:r w:rsidR="00FC5A0D">
        <w:rPr>
          <w:rFonts w:ascii="Open Sans" w:hAnsi="Open Sans" w:cs="Open Sans"/>
          <w:color w:val="auto"/>
        </w:rPr>
        <w:t>2</w:t>
      </w:r>
      <w:r w:rsidRPr="00FC5A0D">
        <w:rPr>
          <w:rFonts w:ascii="Open Sans" w:hAnsi="Open Sans" w:cs="Open Sans"/>
          <w:color w:val="auto"/>
        </w:rPr>
        <w:t xml:space="preserve"> r. poz. </w:t>
      </w:r>
      <w:r w:rsidR="00FC5A0D">
        <w:rPr>
          <w:rFonts w:ascii="Open Sans" w:hAnsi="Open Sans" w:cs="Open Sans"/>
          <w:color w:val="auto"/>
        </w:rPr>
        <w:t>2142)</w:t>
      </w:r>
      <w:r w:rsidRPr="00FC5A0D">
        <w:rPr>
          <w:rFonts w:ascii="Open Sans" w:hAnsi="Open Sans" w:cs="Open Sans"/>
          <w:color w:val="auto"/>
        </w:rPr>
        <w:t>.</w:t>
      </w:r>
    </w:p>
    <w:p w14:paraId="2257A559" w14:textId="77777777" w:rsidR="00FC5A0D" w:rsidRPr="004466E5" w:rsidRDefault="00FC5A0D" w:rsidP="00FC5A0D">
      <w:pPr>
        <w:pStyle w:val="Nagwek6"/>
        <w:spacing w:before="240"/>
        <w:jc w:val="left"/>
        <w:rPr>
          <w:rFonts w:ascii="Open Sans SemiBold" w:eastAsia="Times New Roman" w:hAnsi="Open Sans SemiBold" w:cs="Open Sans SemiBold"/>
          <w:color w:val="auto"/>
          <w:sz w:val="18"/>
          <w:szCs w:val="18"/>
        </w:rPr>
      </w:pPr>
      <w:r w:rsidRPr="004466E5">
        <w:rPr>
          <w:rFonts w:ascii="Open Sans SemiBold" w:eastAsia="Times New Roman" w:hAnsi="Open Sans SemiBold" w:cs="Open Sans SemiBold"/>
          <w:color w:val="auto"/>
          <w:sz w:val="18"/>
          <w:szCs w:val="18"/>
        </w:rPr>
        <w:lastRenderedPageBreak/>
        <w:t xml:space="preserve">Klauzula informacyjna dla interesantów Wydziału Geodezji i Katastru Urzędu Miejskiego w Koninie </w:t>
      </w:r>
    </w:p>
    <w:p w14:paraId="176F102A" w14:textId="77777777" w:rsidR="00FC5A0D" w:rsidRPr="004466E5" w:rsidRDefault="00FC5A0D" w:rsidP="00FC5A0D">
      <w:pPr>
        <w:pStyle w:val="Nagwek6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Zgodnie z art. 13 ust 1 i 2 Ogólnego Rozporządzenia o Ochronie Danych Osobowych z dnia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27 kwietnia 2016 r. (Dz. Urz. UE L 119 z 04.05.2016), informujemy, że:</w:t>
      </w:r>
    </w:p>
    <w:p w14:paraId="1ACBE404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Administratorem Pani/Pana danych osobowych jest Prezydent Miasta Konina, plac Wolności 1;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62-500 Konin, tel. (63) 240 11 11, e-mail: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  <w:hyperlink r:id="rId8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sekretariat@konin.um.gov.pl</w:t>
        </w:r>
      </w:hyperlink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</w:t>
      </w:r>
      <w:hyperlink r:id="rId9" w:history="1"/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</w:p>
    <w:p w14:paraId="1AF72F3E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10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andrzej.andrzejewski-iod@konin.um.gov.pl</w:t>
        </w:r>
      </w:hyperlink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  <w:u w:val="single"/>
        </w:rPr>
        <w:t xml:space="preserve"> </w:t>
      </w:r>
    </w:p>
    <w:p w14:paraId="17DC236F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mogą być przetwarzane w celu:</w:t>
      </w:r>
    </w:p>
    <w:p w14:paraId="73481EDB" w14:textId="3F026A8B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17 maja 1989 r. – Prawo geodezyjne i kartograficzne (Dz.U. z 202</w:t>
      </w:r>
      <w:r w:rsidR="00E12899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E12899">
        <w:rPr>
          <w:rFonts w:ascii="Open Sans" w:eastAsia="Times New Roman" w:hAnsi="Open Sans" w:cs="Open Sans"/>
          <w:color w:val="auto"/>
          <w:sz w:val="18"/>
          <w:szCs w:val="18"/>
        </w:rPr>
        <w:t>1752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ze zmianami) na podstawie artykułów: 7d, 29 ust. 3, 30, 31 ust. 1, 33, 34, 35, 37,  47a ust 5 i ust. 7 oraz aktów wykonawczych do ww. ustawy</w:t>
      </w:r>
    </w:p>
    <w:p w14:paraId="30D4A6FA" w14:textId="537AD176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21 sierpnia 1997 r. o gospodarce nieruchomościami (Dz. U. z 202</w:t>
      </w:r>
      <w:r w:rsidR="00E12899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E12899">
        <w:rPr>
          <w:rFonts w:ascii="Open Sans" w:eastAsia="Times New Roman" w:hAnsi="Open Sans" w:cs="Open Sans"/>
          <w:color w:val="auto"/>
          <w:sz w:val="18"/>
          <w:szCs w:val="18"/>
        </w:rPr>
        <w:t>344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ze zmianami) na podstawie artykułów: 96, 97a, 98a, 98b, 102, 103 i 1047 oraz aktów wykonawczych do ww. ustawy</w:t>
      </w:r>
    </w:p>
    <w:p w14:paraId="6916A28E" w14:textId="01552EC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ustawy z dnia 08 marca 1990 r. o samorządzie gminnym (Dz.U. z 202</w:t>
      </w:r>
      <w:r w:rsidR="00E12899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E12899">
        <w:rPr>
          <w:rFonts w:ascii="Open Sans" w:eastAsia="Times New Roman" w:hAnsi="Open Sans" w:cs="Open Sans"/>
          <w:color w:val="auto"/>
          <w:sz w:val="18"/>
          <w:szCs w:val="18"/>
        </w:rPr>
        <w:t>40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ze zmianami) na podstawie artykułów: 18, 40 ust. 1 i  art. 41 ust 1</w:t>
      </w:r>
    </w:p>
    <w:p w14:paraId="24670458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 związku z przetwarzaniem danych w celach wskazanych powyżej, Pani/Pana dane osobowe mogą być udostępniane innym odbiorcom lub kategoriom odbiorców danych osobowych, którymi mogą być:</w:t>
      </w:r>
    </w:p>
    <w:p w14:paraId="1F1E66E2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podmioty upoważnione do odbioru Pani/Pana danych osobowych na podstawie odpowiednich przepisów prawa;</w:t>
      </w:r>
    </w:p>
    <w:p w14:paraId="6C5DA771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podmioty, które przetwarzają Pani/Pana dane osobowe w imieniu Administratora na podstawie zawartej umowy powierzenia przetwarzania danych osobowych (tzw. podmioty przetwarzające) </w:t>
      </w:r>
    </w:p>
    <w:p w14:paraId="5FED94DB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nie będą przekazywane do państw trzecich.</w:t>
      </w:r>
    </w:p>
    <w:p w14:paraId="38748AAC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 z przepisów prawa.</w:t>
      </w:r>
    </w:p>
    <w:p w14:paraId="69F8BEA6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06B6E22A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i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(</w:t>
      </w:r>
      <w:r w:rsidRPr="004466E5">
        <w:rPr>
          <w:rFonts w:ascii="Open Sans" w:eastAsia="Times New Roman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310F2267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14:paraId="2CA7854A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Podanie przez Panią/Pana danych osobowych jest:</w:t>
      </w:r>
    </w:p>
    <w:p w14:paraId="31B12061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warunkiem prowadzenia sprawy w Wydziale Geodezji i Katastru Urzędu Miejskiego w Koninie i wynika z przepisów prawa,</w:t>
      </w:r>
    </w:p>
    <w:p w14:paraId="7334016D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dobrowolne, jednak niezbędne do załatwienia sprawy w Wydziale Geodezji i Katastru Urzędu Miejskiego w Koninie</w:t>
      </w:r>
    </w:p>
    <w:p w14:paraId="2D27AAC9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p w14:paraId="65CFA1FB" w14:textId="77777777" w:rsidR="00FC5A0D" w:rsidRPr="004466E5" w:rsidRDefault="00FC5A0D" w:rsidP="004466E5">
      <w:pPr>
        <w:pStyle w:val="Nagwek6"/>
        <w:tabs>
          <w:tab w:val="right" w:leader="dot" w:pos="5670"/>
        </w:tabs>
        <w:spacing w:before="120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Konin, dnia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p w14:paraId="69860687" w14:textId="77777777" w:rsidR="00703A29" w:rsidRPr="00FE4D36" w:rsidRDefault="00FC5A0D" w:rsidP="00FE4D36">
      <w:pPr>
        <w:pStyle w:val="Nagwek6"/>
        <w:tabs>
          <w:tab w:val="right" w:leader="dot" w:pos="5670"/>
        </w:tabs>
        <w:jc w:val="left"/>
        <w:rPr>
          <w:rFonts w:ascii="Open Sans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Podpis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sectPr w:rsidR="00703A29" w:rsidRPr="00FE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48F7" w14:textId="77777777" w:rsidR="00F42564" w:rsidRDefault="00F42564" w:rsidP="000A6F53">
      <w:pPr>
        <w:spacing w:line="240" w:lineRule="auto"/>
      </w:pPr>
      <w:r>
        <w:separator/>
      </w:r>
    </w:p>
  </w:endnote>
  <w:endnote w:type="continuationSeparator" w:id="0">
    <w:p w14:paraId="3851FAF9" w14:textId="77777777" w:rsidR="00F42564" w:rsidRDefault="00F42564" w:rsidP="000A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6689" w14:textId="77777777" w:rsidR="00F42564" w:rsidRDefault="00F42564" w:rsidP="000A6F53">
      <w:pPr>
        <w:spacing w:line="240" w:lineRule="auto"/>
      </w:pPr>
      <w:r>
        <w:separator/>
      </w:r>
    </w:p>
  </w:footnote>
  <w:footnote w:type="continuationSeparator" w:id="0">
    <w:p w14:paraId="6B12F013" w14:textId="77777777" w:rsidR="00F42564" w:rsidRDefault="00F42564" w:rsidP="000A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06"/>
    <w:multiLevelType w:val="hybridMultilevel"/>
    <w:tmpl w:val="133A0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E7F"/>
    <w:multiLevelType w:val="hybridMultilevel"/>
    <w:tmpl w:val="CAEE8EC0"/>
    <w:lvl w:ilvl="0" w:tplc="0415000F">
      <w:start w:val="1"/>
      <w:numFmt w:val="decimal"/>
      <w:lvlText w:val="%1.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A964DC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120EE"/>
    <w:multiLevelType w:val="hybridMultilevel"/>
    <w:tmpl w:val="FCD0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E55"/>
    <w:multiLevelType w:val="hybridMultilevel"/>
    <w:tmpl w:val="B04842C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0D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65A24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167F33EC"/>
    <w:multiLevelType w:val="hybridMultilevel"/>
    <w:tmpl w:val="89D6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62C7"/>
    <w:multiLevelType w:val="hybridMultilevel"/>
    <w:tmpl w:val="4DC02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73C5"/>
    <w:multiLevelType w:val="hybridMultilevel"/>
    <w:tmpl w:val="9ED26E4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45A89"/>
    <w:multiLevelType w:val="hybridMultilevel"/>
    <w:tmpl w:val="259C430E"/>
    <w:lvl w:ilvl="0" w:tplc="C12E7382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462B"/>
    <w:multiLevelType w:val="hybridMultilevel"/>
    <w:tmpl w:val="3D58E81A"/>
    <w:lvl w:ilvl="0" w:tplc="7688C488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8F32E4"/>
    <w:multiLevelType w:val="hybridMultilevel"/>
    <w:tmpl w:val="2B32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A76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F56AE"/>
    <w:multiLevelType w:val="hybridMultilevel"/>
    <w:tmpl w:val="FDEC0236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D21D7"/>
    <w:multiLevelType w:val="hybridMultilevel"/>
    <w:tmpl w:val="C9DC9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3015A"/>
    <w:multiLevelType w:val="hybridMultilevel"/>
    <w:tmpl w:val="334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2F30"/>
    <w:multiLevelType w:val="hybridMultilevel"/>
    <w:tmpl w:val="5330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4495D"/>
    <w:multiLevelType w:val="hybridMultilevel"/>
    <w:tmpl w:val="63949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60F76"/>
    <w:multiLevelType w:val="hybridMultilevel"/>
    <w:tmpl w:val="1A06B900"/>
    <w:lvl w:ilvl="0" w:tplc="E18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A1CF1"/>
    <w:multiLevelType w:val="hybridMultilevel"/>
    <w:tmpl w:val="FDD2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1541F"/>
    <w:multiLevelType w:val="hybridMultilevel"/>
    <w:tmpl w:val="D7C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3F8C"/>
    <w:multiLevelType w:val="hybridMultilevel"/>
    <w:tmpl w:val="50F0654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4CAE"/>
    <w:multiLevelType w:val="hybridMultilevel"/>
    <w:tmpl w:val="6AA249A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A808C2"/>
    <w:multiLevelType w:val="hybridMultilevel"/>
    <w:tmpl w:val="686E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359D6"/>
    <w:multiLevelType w:val="hybridMultilevel"/>
    <w:tmpl w:val="4A421F5A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6458"/>
    <w:multiLevelType w:val="hybridMultilevel"/>
    <w:tmpl w:val="B4BC01E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22D6"/>
    <w:multiLevelType w:val="hybridMultilevel"/>
    <w:tmpl w:val="3D0C6E74"/>
    <w:lvl w:ilvl="0" w:tplc="7688C488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D91064A"/>
    <w:multiLevelType w:val="hybridMultilevel"/>
    <w:tmpl w:val="89421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6B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9DA4FC5"/>
    <w:multiLevelType w:val="hybridMultilevel"/>
    <w:tmpl w:val="2140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6460"/>
    <w:multiLevelType w:val="hybridMultilevel"/>
    <w:tmpl w:val="FBB63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04055"/>
    <w:multiLevelType w:val="hybridMultilevel"/>
    <w:tmpl w:val="EA50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1862"/>
    <w:multiLevelType w:val="hybridMultilevel"/>
    <w:tmpl w:val="3CA88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096"/>
    <w:multiLevelType w:val="hybridMultilevel"/>
    <w:tmpl w:val="F4C25368"/>
    <w:lvl w:ilvl="0" w:tplc="32C4EF4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7D2F"/>
    <w:multiLevelType w:val="hybridMultilevel"/>
    <w:tmpl w:val="71683C3E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C67BD"/>
    <w:multiLevelType w:val="hybridMultilevel"/>
    <w:tmpl w:val="4D76080A"/>
    <w:lvl w:ilvl="0" w:tplc="04150019">
      <w:start w:val="1"/>
      <w:numFmt w:val="lowerLetter"/>
      <w:lvlText w:val="%1."/>
      <w:lvlJc w:val="left"/>
      <w:pPr>
        <w:ind w:left="4130" w:hanging="360"/>
      </w:p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37" w15:restartNumberingAfterBreak="0">
    <w:nsid w:val="76555DAA"/>
    <w:multiLevelType w:val="hybridMultilevel"/>
    <w:tmpl w:val="90A45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52DE"/>
    <w:multiLevelType w:val="hybridMultilevel"/>
    <w:tmpl w:val="6150CBD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B64E5"/>
    <w:multiLevelType w:val="hybridMultilevel"/>
    <w:tmpl w:val="E33AD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97DE2"/>
    <w:multiLevelType w:val="hybridMultilevel"/>
    <w:tmpl w:val="52BC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8594">
    <w:abstractNumId w:val="1"/>
  </w:num>
  <w:num w:numId="2" w16cid:durableId="1974215291">
    <w:abstractNumId w:val="36"/>
  </w:num>
  <w:num w:numId="3" w16cid:durableId="571890870">
    <w:abstractNumId w:val="37"/>
  </w:num>
  <w:num w:numId="4" w16cid:durableId="2078629816">
    <w:abstractNumId w:val="33"/>
  </w:num>
  <w:num w:numId="5" w16cid:durableId="733968199">
    <w:abstractNumId w:val="18"/>
  </w:num>
  <w:num w:numId="6" w16cid:durableId="780880390">
    <w:abstractNumId w:val="40"/>
  </w:num>
  <w:num w:numId="7" w16cid:durableId="820317592">
    <w:abstractNumId w:val="23"/>
  </w:num>
  <w:num w:numId="8" w16cid:durableId="339743380">
    <w:abstractNumId w:val="38"/>
  </w:num>
  <w:num w:numId="9" w16cid:durableId="1178083076">
    <w:abstractNumId w:val="14"/>
  </w:num>
  <w:num w:numId="10" w16cid:durableId="1802993231">
    <w:abstractNumId w:val="35"/>
  </w:num>
  <w:num w:numId="11" w16cid:durableId="148984726">
    <w:abstractNumId w:val="19"/>
  </w:num>
  <w:num w:numId="12" w16cid:durableId="1903443763">
    <w:abstractNumId w:val="10"/>
  </w:num>
  <w:num w:numId="13" w16cid:durableId="968439079">
    <w:abstractNumId w:val="27"/>
  </w:num>
  <w:num w:numId="14" w16cid:durableId="93785792">
    <w:abstractNumId w:val="11"/>
  </w:num>
  <w:num w:numId="15" w16cid:durableId="474025759">
    <w:abstractNumId w:val="25"/>
  </w:num>
  <w:num w:numId="16" w16cid:durableId="1229727003">
    <w:abstractNumId w:val="26"/>
  </w:num>
  <w:num w:numId="17" w16cid:durableId="337315960">
    <w:abstractNumId w:val="4"/>
  </w:num>
  <w:num w:numId="18" w16cid:durableId="1988821392">
    <w:abstractNumId w:val="3"/>
  </w:num>
  <w:num w:numId="19" w16cid:durableId="461114963">
    <w:abstractNumId w:val="20"/>
  </w:num>
  <w:num w:numId="20" w16cid:durableId="232470726">
    <w:abstractNumId w:val="22"/>
  </w:num>
  <w:num w:numId="21" w16cid:durableId="521668909">
    <w:abstractNumId w:val="12"/>
  </w:num>
  <w:num w:numId="22" w16cid:durableId="457064582">
    <w:abstractNumId w:val="13"/>
  </w:num>
  <w:num w:numId="23" w16cid:durableId="484708117">
    <w:abstractNumId w:val="6"/>
  </w:num>
  <w:num w:numId="24" w16cid:durableId="1312438832">
    <w:abstractNumId w:val="29"/>
  </w:num>
  <w:num w:numId="25" w16cid:durableId="107625774">
    <w:abstractNumId w:val="5"/>
  </w:num>
  <w:num w:numId="26" w16cid:durableId="387729036">
    <w:abstractNumId w:val="17"/>
  </w:num>
  <w:num w:numId="27" w16cid:durableId="1389373859">
    <w:abstractNumId w:val="9"/>
  </w:num>
  <w:num w:numId="28" w16cid:durableId="20058110">
    <w:abstractNumId w:val="24"/>
  </w:num>
  <w:num w:numId="29" w16cid:durableId="753549507">
    <w:abstractNumId w:val="28"/>
  </w:num>
  <w:num w:numId="30" w16cid:durableId="1793135964">
    <w:abstractNumId w:val="16"/>
  </w:num>
  <w:num w:numId="31" w16cid:durableId="1896119134">
    <w:abstractNumId w:val="15"/>
  </w:num>
  <w:num w:numId="32" w16cid:durableId="1098797379">
    <w:abstractNumId w:val="21"/>
  </w:num>
  <w:num w:numId="33" w16cid:durableId="669336780">
    <w:abstractNumId w:val="39"/>
  </w:num>
  <w:num w:numId="34" w16cid:durableId="1492988614">
    <w:abstractNumId w:val="7"/>
  </w:num>
  <w:num w:numId="35" w16cid:durableId="1112625484">
    <w:abstractNumId w:val="8"/>
  </w:num>
  <w:num w:numId="36" w16cid:durableId="697119560">
    <w:abstractNumId w:val="0"/>
  </w:num>
  <w:num w:numId="37" w16cid:durableId="2026245155">
    <w:abstractNumId w:val="31"/>
  </w:num>
  <w:num w:numId="38" w16cid:durableId="1349482930">
    <w:abstractNumId w:val="32"/>
  </w:num>
  <w:num w:numId="39" w16cid:durableId="346951029">
    <w:abstractNumId w:val="2"/>
  </w:num>
  <w:num w:numId="40" w16cid:durableId="750473200">
    <w:abstractNumId w:val="34"/>
  </w:num>
  <w:num w:numId="41" w16cid:durableId="1466966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F"/>
    <w:rsid w:val="00005C52"/>
    <w:rsid w:val="00081027"/>
    <w:rsid w:val="000903C0"/>
    <w:rsid w:val="000A6F53"/>
    <w:rsid w:val="00150463"/>
    <w:rsid w:val="001B2095"/>
    <w:rsid w:val="001E23F0"/>
    <w:rsid w:val="002C02BA"/>
    <w:rsid w:val="002E29D0"/>
    <w:rsid w:val="00344932"/>
    <w:rsid w:val="00356491"/>
    <w:rsid w:val="00365CC9"/>
    <w:rsid w:val="00423B38"/>
    <w:rsid w:val="004466E5"/>
    <w:rsid w:val="00476069"/>
    <w:rsid w:val="00480A8D"/>
    <w:rsid w:val="00495839"/>
    <w:rsid w:val="0050209B"/>
    <w:rsid w:val="005258E9"/>
    <w:rsid w:val="005B3B2D"/>
    <w:rsid w:val="00603F31"/>
    <w:rsid w:val="006F16DF"/>
    <w:rsid w:val="00703A29"/>
    <w:rsid w:val="00724712"/>
    <w:rsid w:val="00730490"/>
    <w:rsid w:val="007435B6"/>
    <w:rsid w:val="0079663F"/>
    <w:rsid w:val="007E47CF"/>
    <w:rsid w:val="00823FCC"/>
    <w:rsid w:val="008302ED"/>
    <w:rsid w:val="00875D4C"/>
    <w:rsid w:val="008D5BD1"/>
    <w:rsid w:val="00962967"/>
    <w:rsid w:val="00966469"/>
    <w:rsid w:val="00984F74"/>
    <w:rsid w:val="00A9407E"/>
    <w:rsid w:val="00AF0364"/>
    <w:rsid w:val="00B6588F"/>
    <w:rsid w:val="00BD1763"/>
    <w:rsid w:val="00BE28C4"/>
    <w:rsid w:val="00C37D29"/>
    <w:rsid w:val="00D526D7"/>
    <w:rsid w:val="00D62D6C"/>
    <w:rsid w:val="00D76EEC"/>
    <w:rsid w:val="00DA36EE"/>
    <w:rsid w:val="00DB55EE"/>
    <w:rsid w:val="00E12899"/>
    <w:rsid w:val="00EF1FA1"/>
    <w:rsid w:val="00F42564"/>
    <w:rsid w:val="00F562AF"/>
    <w:rsid w:val="00F64147"/>
    <w:rsid w:val="00F856D9"/>
    <w:rsid w:val="00FC5A0D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5F94"/>
  <w15:chartTrackingRefBased/>
  <w15:docId w15:val="{276AC93B-A841-48EA-A9BB-60F292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B55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F53"/>
  </w:style>
  <w:style w:type="paragraph" w:styleId="Stopka">
    <w:name w:val="footer"/>
    <w:basedOn w:val="Normalny"/>
    <w:link w:val="Stopka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53"/>
  </w:style>
  <w:style w:type="character" w:customStyle="1" w:styleId="Nagwek3Znak">
    <w:name w:val="Nagłówek 3 Znak"/>
    <w:basedOn w:val="Domylnaczcionkaakapitu"/>
    <w:link w:val="Nagwek3"/>
    <w:uiPriority w:val="9"/>
    <w:rsid w:val="000A6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629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966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664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84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4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1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DB55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rsid w:val="00603F3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3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BD4A-BA9E-4DB2-8AC1-F214997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podział nieruchomości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podział nieruchomości</dc:title>
  <dc:subject/>
  <dc:creator>Anna Wiśniewska-Kordyl</dc:creator>
  <cp:keywords/>
  <dc:description/>
  <cp:lastModifiedBy>Piotr Bartczak</cp:lastModifiedBy>
  <cp:revision>4</cp:revision>
  <dcterms:created xsi:type="dcterms:W3CDTF">2023-07-14T12:28:00Z</dcterms:created>
  <dcterms:modified xsi:type="dcterms:W3CDTF">2023-09-19T11:32:00Z</dcterms:modified>
</cp:coreProperties>
</file>